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Props1.xml><?xml version="1.0" encoding="utf-8"?>
<ds:datastoreItem xmlns:ds="http://schemas.openxmlformats.org/officeDocument/2006/customXml" ds:itemID="{5CA8EBF1-5E74-48F2-B28D-FF365E3C72EF}">
  <ds:schemaRefs/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Company>應之軒</Company>
  <Pages>2</Pages>
  <Words>1112</Words>
  <Characters>1327</Characters>
  <Lines>13</Lines>
  <Paragraphs>3</Paragraphs>
  <TotalTime>4</TotalTime>
  <ScaleCrop>false</ScaleCrop>
  <LinksUpToDate>false</LinksUpToDate>
  <CharactersWithSpaces>1403</CharactersWithSpaces>
  <Application>WPS Office_12.1.0.24657_F1E327BC-269C-435d-A152-05C5408002CA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2026-01-28T07:16:00Z</dcterms:created>
  <dc:creator>ZhengJiang</dc:creator>
  <cp:lastModifiedBy>hsj</cp:lastModifiedBy>
  <cp:lastPrinted>2023-11-07T07:48:00Z</cp:lastPrinted>
  <dcterms:modified xsi:type="dcterms:W3CDTF">2026-01-28T09:25:11Z</dcterms:modified>
  <cp:revision>2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403D3A734C594E9DAC1DF9895754B2E8_13</vt:lpwstr>
  </property>
  <property fmtid="{D5CDD505-2E9C-101B-9397-08002B2CF9AE}" pid="4" name="KSOTemplateDocerSaveRecord">
    <vt:lpwstr>eyJoZGlkIjoiYTJiYjc5OWYxZmU2ZGNiOTY1MTUxYzYyZjI2MWNmMzUiLCJ1c2VySWQiOiIzNDA0MDE0ODYifQ==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Y4u1xjFGIN7FhyOMXAIqe5OyzEJzHgjd+QaJfSjihjwk2+t1qw+4lM6kd0w/HO66WuVABOd5NlEdnRbJjWp+kjnI3d9jeBl1t8RA+Tm7hrD05kxFsD9gLWqnau1Iipnci7zbBQKrrPdzECN6seNaIwo3CP7JCbqIkK0VpOBP6BzeL3pv6IUFueigDeqb2zIm6rU11FgMXf4cs8lo2etbUgWFiCR1ovJ/UVyoq0B/4sPWkycu8B7aIBthCR3ASB58aQ216o+1CmEJkSUcdiZ173to9gjJW/Voauf+hl50Mbc815Rk+rcTjeGs+yw2B7fCL+GHm/OwEWrzDhci6P5TlyXo4oQZJ6JHMC2Au+xr2jjmVhO+2CpBK1uG14PXf2RUxJTQV6LFuOrSq0+Csw3Z7La7kcbZtgNiY4O5288PrfAIj1Spp3nf/+bPwy4V8oWAY+LRnZvAMjIzDTDOWaiKKZ+uD/wcmEIVAeHmJVaK1W4=</vt:lpwstr>
  </property>
</Properties>
</file>

<file path=word\_rels\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5373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苏州国芯科技股份有限公司</w:t>
      </w:r>
    </w:p>
    <w:p w14:paraId="0658252B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ascii="华文中宋" w:hAnsi="华文中宋" w:eastAsia="华文中宋" w:cs="华文中宋"/>
          <w:b/>
          <w:sz w:val="32"/>
          <w:szCs w:val="32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</w:t>
      </w:r>
      <w:r>
        <w:rPr>
          <w:rFonts w:ascii="华文中宋" w:hAnsi="华文中宋" w:eastAsia="华文中宋" w:cs="华文中宋"/>
          <w:b/>
          <w:sz w:val="32"/>
          <w:szCs w:val="32"/>
        </w:rPr>
        <w:t>1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月</w:t>
      </w:r>
      <w:r>
        <w:rPr>
          <w:rFonts w:ascii="华文中宋" w:hAnsi="华文中宋" w:eastAsia="华文中宋" w:cs="华文中宋"/>
          <w:b/>
          <w:sz w:val="32"/>
          <w:szCs w:val="32"/>
        </w:rPr>
        <w:t>28日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投资者关系活动记录表</w:t>
      </w:r>
    </w:p>
    <w:p w14:paraId="7E96938C"/>
    <w:p w14:paraId="71A75326">
      <w:pPr>
        <w:ind w:firstLine="241"/>
        <w:rPr>
          <w:rFonts w:cs="宋体"/>
          <w:b/>
          <w:bCs/>
        </w:rPr>
      </w:pPr>
      <w:r>
        <w:rPr>
          <w:rFonts w:hint="eastAsia" w:cs="宋体"/>
          <w:b/>
          <w:bCs/>
        </w:rPr>
        <w:t xml:space="preserve">证券简称：国芯科技           证券代码：688262      </w:t>
      </w:r>
      <w:r>
        <w:rPr>
          <w:rFonts w:cs="宋体"/>
          <w:b/>
          <w:bCs/>
        </w:rPr>
        <w:t xml:space="preserve">  </w:t>
      </w:r>
      <w:r>
        <w:rPr>
          <w:rFonts w:hint="eastAsia" w:cs="宋体"/>
          <w:b/>
          <w:bCs/>
        </w:rPr>
        <w:t>编号：202</w:t>
      </w:r>
      <w:r>
        <w:rPr>
          <w:rFonts w:cs="宋体"/>
          <w:b/>
          <w:bCs/>
        </w:rPr>
        <w:t>6</w:t>
      </w:r>
      <w:r>
        <w:rPr>
          <w:rFonts w:hint="eastAsia" w:cs="宋体"/>
          <w:b/>
          <w:bCs/>
        </w:rPr>
        <w:t>-0</w:t>
      </w:r>
      <w:r>
        <w:rPr>
          <w:rFonts w:cs="宋体"/>
          <w:b/>
          <w:bCs/>
        </w:rPr>
        <w:t>01</w:t>
      </w:r>
    </w:p>
    <w:tbl>
      <w:tblPr>
        <w:tblStyle w:val="11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999"/>
      </w:tblGrid>
      <w:tr w14:paraId="50A8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75" w:type="pct"/>
            <w:vAlign w:val="center"/>
          </w:tcPr>
          <w:p w14:paraId="3B2DCB39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14:paraId="66DA0B44">
            <w:pPr>
              <w:ind w:firstLine="0" w:firstLineChars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14:paraId="55EF2D6F">
            <w:pPr>
              <w:ind w:firstLine="0" w:firstLineChars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>
            <w:pPr>
              <w:ind w:firstLine="0" w:firstLineChars="0"/>
            </w:pPr>
            <w:r>
              <w:t xml:space="preserve">□新闻发布会          </w:t>
            </w:r>
            <w:r>
              <w:rPr>
                <w:rFonts w:hint="eastAsia"/>
              </w:rPr>
              <w:t>□</w:t>
            </w:r>
            <w:r>
              <w:t>路演活动</w:t>
            </w:r>
          </w:p>
          <w:p w14:paraId="7403CBA3">
            <w:pPr>
              <w:ind w:firstLine="0" w:firstLineChars="0"/>
            </w:pPr>
            <w:r>
              <w:rPr>
                <w:rFonts w:hint="eastAsia"/>
              </w:rPr>
              <w:t>□</w:t>
            </w:r>
            <w:r>
              <w:t>现场参观            □其他（请文字说明其他活动内容）</w:t>
            </w:r>
          </w:p>
        </w:tc>
      </w:tr>
      <w:tr w14:paraId="3B3C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5B250000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14:paraId="357DEEBF">
            <w:pPr>
              <w:ind w:firstLine="0" w:firstLineChars="0"/>
            </w:pPr>
            <w:r>
              <w:rPr>
                <w:rFonts w:hint="eastAsia"/>
              </w:rPr>
              <w:t>中金公司；太保资产；彼得朋奇基金；兴业证券。</w:t>
            </w:r>
          </w:p>
        </w:tc>
      </w:tr>
      <w:tr w14:paraId="7663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5" w:type="pct"/>
            <w:vAlign w:val="center"/>
          </w:tcPr>
          <w:p w14:paraId="289EB92E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14:paraId="6C32DD5E">
            <w:pPr>
              <w:ind w:firstLine="0" w:firstLineChars="0"/>
            </w:pPr>
            <w:r>
              <w:rPr>
                <w:rFonts w:hint="eastAsia"/>
              </w:rPr>
              <w:t>2</w:t>
            </w:r>
            <w:r>
              <w:t>026年1</w:t>
            </w:r>
            <w:r>
              <w:rPr>
                <w:rFonts w:hint="eastAsia"/>
              </w:rPr>
              <w:t>月</w:t>
            </w:r>
            <w:r>
              <w:t>28日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：0</w:t>
            </w:r>
            <w:r>
              <w:t>0；</w:t>
            </w:r>
            <w:r>
              <w:rPr>
                <w:rFonts w:hint="eastAsia"/>
              </w:rPr>
              <w:t>2</w:t>
            </w:r>
            <w:r>
              <w:t>026年</w:t>
            </w:r>
            <w:r>
              <w:rPr>
                <w:rFonts w:hint="eastAsia"/>
              </w:rPr>
              <w:t>1月2</w:t>
            </w:r>
            <w:r>
              <w:t>8日</w:t>
            </w:r>
            <w:r>
              <w:rPr>
                <w:rFonts w:hint="eastAsia"/>
              </w:rPr>
              <w:t>1</w:t>
            </w:r>
            <w:r>
              <w:t>6:00</w:t>
            </w:r>
          </w:p>
        </w:tc>
      </w:tr>
      <w:tr w14:paraId="18A1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75" w:type="pct"/>
            <w:vAlign w:val="center"/>
          </w:tcPr>
          <w:p w14:paraId="5D6D7018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14:paraId="4A722927">
            <w:pPr>
              <w:ind w:firstLine="0" w:firstLineChars="0"/>
            </w:pPr>
            <w:r>
              <w:rPr>
                <w:rFonts w:hint="eastAsia"/>
              </w:rPr>
              <w:t>现场交流</w:t>
            </w:r>
          </w:p>
        </w:tc>
      </w:tr>
      <w:tr w14:paraId="6479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08DAA889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14:paraId="49BFF728">
            <w:pPr>
              <w:ind w:firstLine="0" w:firstLineChars="0"/>
            </w:pPr>
            <w:r>
              <w:t>董事会秘书：龚小刚</w:t>
            </w:r>
          </w:p>
        </w:tc>
      </w:tr>
      <w:tr w14:paraId="2DD1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29DA955F">
            <w:pPr>
              <w:ind w:firstLine="0" w:firstLineChars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14:paraId="01DD8DAA">
            <w:pPr>
              <w:ind w:firstLine="482" w:firstLineChars="200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/>
                <w:bCs/>
              </w:rPr>
              <w:t>1、公司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</w:rPr>
              <w:t>025年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汽车电子芯片业务的最新市场进展怎么样</w:t>
            </w:r>
            <w:r>
              <w:rPr>
                <w:rFonts w:asciiTheme="minorEastAsia" w:hAnsiTheme="minorEastAsia" w:eastAsiaTheme="minorEastAsia"/>
                <w:b/>
                <w:bCs/>
              </w:rPr>
              <w:t>？</w:t>
            </w:r>
          </w:p>
          <w:p w14:paraId="5F396DB7">
            <w:pPr>
              <w:ind w:firstLine="48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Cs/>
              </w:rPr>
              <w:t>答</w:t>
            </w:r>
            <w:r>
              <w:rPr>
                <w:rFonts w:hint="eastAsia" w:asciiTheme="minorEastAsia" w:hAnsiTheme="minorEastAsia" w:eastAsiaTheme="minorEastAsia"/>
                <w:bCs/>
              </w:rPr>
              <w:t>：</w:t>
            </w:r>
            <w:bookmarkStart w:id="0" w:name="_Hlk83766931"/>
            <w:bookmarkStart w:id="1" w:name="_Hlk89119871"/>
            <w:r>
              <w:rPr>
                <w:rFonts w:hint="eastAsia"/>
              </w:rPr>
              <w:t>在汽车产业电动化、智能化转型的当下，国芯科技构建了覆盖“基础控制</w:t>
            </w:r>
            <w:r>
              <w:t>-高端智能”“MCU-数模混合-DSP”的较为完整的产品矩阵，12条车规级芯片产品线逐步向高端演进，持续突破高端产品技术壁垒。</w:t>
            </w:r>
            <w:r>
              <w:rPr>
                <w:rFonts w:hint="eastAsia"/>
              </w:rPr>
              <w:t>公司汽车电子芯片已陆续进入比亚迪、奇瑞、吉利、上汽、长安、长城、一汽、东风、北汽、小鹏、理想、赛力斯、广汽等众多汽车整机厂商，以及埃泰克、经纬恒润、欧菲智能、易鼎丰、英创汇智、安波福、松原安全、法雷奥等国际国内Tier1模组厂商，公司汽车电子芯片获得了市场的广泛认可和良好的业界口碑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  <w:bookmarkStart w:id="2" w:name="_GoBack"/>
            <w:bookmarkEnd w:id="2"/>
          </w:p>
          <w:p w14:paraId="3249D87D">
            <w:pPr>
              <w:ind w:firstLine="48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025年，公司汽车电子芯片出货量达1300万颗，预计公司自主汽车电子芯片业务收入达1.27亿元，同比增长82.32%。截至2025年12月31日，</w:t>
            </w:r>
            <w:r>
              <w:rPr>
                <w:rFonts w:hint="eastAsia" w:asciiTheme="minorEastAsia" w:hAnsiTheme="minorEastAsia" w:eastAsiaTheme="minorEastAsia"/>
              </w:rPr>
              <w:t>公司</w:t>
            </w:r>
            <w:r>
              <w:rPr>
                <w:rFonts w:asciiTheme="minorEastAsia" w:hAnsiTheme="minorEastAsia" w:eastAsiaTheme="minorEastAsia"/>
              </w:rPr>
              <w:t>汽车电子芯片累计出货量正式突破2500万颗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  <w:r>
              <w:rPr>
                <w:rStyle w:val="13"/>
                <w:rFonts w:hint="eastAsia" w:asciiTheme="minorEastAsia" w:hAnsiTheme="minorEastAsia" w:eastAsiaTheme="minorEastAsia"/>
                <w:b w:val="0"/>
                <w:bCs/>
              </w:rPr>
              <w:t>包括CCFC3007PT/BC、CCFC3008PT/BC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、</w:t>
            </w:r>
            <w:r>
              <w:rPr>
                <w:rStyle w:val="13"/>
                <w:rFonts w:hint="eastAsia" w:asciiTheme="minorEastAsia" w:hAnsiTheme="minorEastAsia" w:eastAsiaTheme="minorEastAsia"/>
                <w:b w:val="0"/>
                <w:bCs/>
              </w:rPr>
              <w:t>CCFC3010PT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、</w:t>
            </w:r>
            <w:r>
              <w:rPr>
                <w:rStyle w:val="13"/>
                <w:rFonts w:hint="eastAsia" w:asciiTheme="minorEastAsia" w:hAnsiTheme="minorEastAsia" w:eastAsiaTheme="minorEastAsia"/>
                <w:b w:val="0"/>
                <w:bCs/>
              </w:rPr>
              <w:t>CCFC3012PT</w:t>
            </w:r>
            <w:r>
              <w:rPr>
                <w:rFonts w:hint="eastAsia" w:asciiTheme="minorEastAsia" w:hAnsiTheme="minorEastAsia" w:eastAsiaTheme="minorEastAsia"/>
                <w:b w:val="0"/>
                <w:bCs/>
              </w:rPr>
              <w:t>和CCD5001在内的高端车规MCU和DSP芯片系列均已实现市场销售应用。</w:t>
            </w:r>
            <w:r>
              <w:rPr>
                <w:rFonts w:hint="eastAsia" w:asciiTheme="minorEastAsia" w:hAnsiTheme="minorEastAsia" w:eastAsiaTheme="minorEastAsia"/>
              </w:rPr>
              <w:t>公司将持续推进汽车电子芯片产品的应用开发和量产，为实现我国汽车电子芯片的自主可控做出努力。</w:t>
            </w:r>
          </w:p>
          <w:p w14:paraId="0571B257">
            <w:pPr>
              <w:adjustRightInd w:val="0"/>
              <w:snapToGrid w:val="0"/>
              <w:ind w:firstLine="482" w:firstLineChars="200"/>
              <w:rPr>
                <w:b/>
              </w:rPr>
            </w:pPr>
            <w:r>
              <w:rPr>
                <w:rFonts w:hint="eastAsia"/>
                <w:b/>
              </w:rPr>
              <w:t>2、目前公司的定制芯片业务的供应链状况怎么样？</w:t>
            </w:r>
          </w:p>
          <w:p w14:paraId="12DE84E9">
            <w:pPr>
              <w:adjustRightInd w:val="0"/>
              <w:snapToGrid w:val="0"/>
              <w:ind w:firstLine="480" w:firstLineChars="200"/>
            </w:pPr>
            <w:r>
              <w:rPr>
                <w:rFonts w:hint="eastAsia"/>
              </w:rPr>
              <w:t>答：自2</w:t>
            </w:r>
            <w:r>
              <w:t>025年</w:t>
            </w:r>
            <w:r>
              <w:rPr>
                <w:rFonts w:hint="eastAsia"/>
              </w:rPr>
              <w:t>8月底公司定制芯片业务供应链恢复正常以来，公司定制芯片业务的供应链持续保持稳定，目前相关产品保持正常生产封测及交付状态，这对公司业务持续发展提供了坚实保障。</w:t>
            </w:r>
          </w:p>
          <w:p w14:paraId="3ECEED9C">
            <w:pPr>
              <w:adjustRightInd w:val="0"/>
              <w:snapToGrid w:val="0"/>
              <w:ind w:firstLine="482" w:firstLineChars="200"/>
              <w:rPr>
                <w:b/>
              </w:rPr>
            </w:pPr>
            <w:r>
              <w:rPr>
                <w:rFonts w:hint="eastAsia"/>
                <w:b/>
              </w:rPr>
              <w:t>3、公司2</w:t>
            </w:r>
            <w:r>
              <w:rPr>
                <w:b/>
              </w:rPr>
              <w:t>025年</w:t>
            </w:r>
            <w:r>
              <w:rPr>
                <w:rFonts w:hint="eastAsia"/>
                <w:b/>
              </w:rPr>
              <w:t>四季度</w:t>
            </w:r>
            <w:r>
              <w:rPr>
                <w:b/>
              </w:rPr>
              <w:t>的收入</w:t>
            </w:r>
            <w:r>
              <w:rPr>
                <w:rFonts w:hint="eastAsia"/>
                <w:b/>
              </w:rPr>
              <w:t>增长</w:t>
            </w:r>
            <w:r>
              <w:rPr>
                <w:b/>
              </w:rPr>
              <w:t>情况怎么样？</w:t>
            </w:r>
          </w:p>
          <w:p w14:paraId="7FFEC91E">
            <w:pPr>
              <w:adjustRightInd w:val="0"/>
              <w:snapToGrid w:val="0"/>
              <w:ind w:firstLine="480" w:firstLineChars="200"/>
            </w:pPr>
            <w:r>
              <w:t>答：基于当前业绩预告情况来看，</w:t>
            </w:r>
            <w:r>
              <w:rPr>
                <w:rFonts w:hint="eastAsia"/>
              </w:rPr>
              <w:t>公司预计2</w:t>
            </w:r>
            <w:r>
              <w:t>025年</w:t>
            </w:r>
            <w:r>
              <w:rPr>
                <w:rFonts w:hint="eastAsia"/>
              </w:rPr>
              <w:t>第四季度收入为</w:t>
            </w:r>
            <w:r>
              <w:t>2.73亿元，同比增长</w:t>
            </w:r>
            <w:r>
              <w:rPr>
                <w:rFonts w:hint="eastAsia"/>
              </w:rPr>
              <w:t>预计</w:t>
            </w:r>
            <w:r>
              <w:t>超过160%，环比增长</w:t>
            </w:r>
            <w:r>
              <w:rPr>
                <w:rFonts w:hint="eastAsia"/>
              </w:rPr>
              <w:t>预计</w:t>
            </w:r>
            <w:r>
              <w:t>超过210%。</w:t>
            </w:r>
          </w:p>
          <w:p w14:paraId="4DBE2C29">
            <w:pPr>
              <w:snapToGrid w:val="0"/>
              <w:ind w:firstLine="482" w:firstLineChars="200"/>
              <w:rPr>
                <w:b/>
              </w:rPr>
            </w:pPr>
            <w:r>
              <w:rPr>
                <w:rFonts w:hint="eastAsia"/>
                <w:b/>
              </w:rPr>
              <w:t>4、公司在</w:t>
            </w:r>
            <w:r>
              <w:rPr>
                <w:b/>
              </w:rPr>
              <w:t>AI NPU最新研发进展情况怎么样？</w:t>
            </w:r>
          </w:p>
          <w:p w14:paraId="5781A4A4">
            <w:pPr>
              <w:snapToGrid w:val="0"/>
              <w:ind w:firstLine="480" w:firstLineChars="200"/>
            </w:pPr>
            <w:r>
              <w:rPr>
                <w:rFonts w:hint="eastAsia"/>
              </w:rPr>
              <w:t>答：在AI NPU IP核研发领域，公司相继和香港应科院、龙擎视芯等单位展开合作，面向端/边缘侧应用开展AI NPU技术研发，开发CNN20、CNN100、CNN200和CNN300系列化NPU IP核，其中CNN20、CNN100和CNN200已完成设计验证并可以对外授权。CNN300是国芯科技和龙擎视芯目前正在联合研发的高性能、低功耗的基于</w:t>
            </w:r>
            <w:r>
              <w:t>RISC-V通用神经网络加速器（RISC-V GPNPU），并以RISC-V GPNPU为基础</w:t>
            </w:r>
            <w:r>
              <w:rPr>
                <w:rFonts w:hint="eastAsia"/>
              </w:rPr>
              <w:t>正在</w:t>
            </w:r>
            <w:r>
              <w:t>共同打造PC和边缘侧</w:t>
            </w:r>
            <w:r>
              <w:rPr>
                <w:rFonts w:hint="eastAsia"/>
              </w:rPr>
              <w:t>高性能</w:t>
            </w:r>
            <w:r>
              <w:t>AI加速芯片。</w:t>
            </w:r>
          </w:p>
          <w:bookmarkEnd w:id="0"/>
          <w:bookmarkEnd w:id="1"/>
          <w:p w14:paraId="36AA91C2">
            <w:pPr>
              <w:adjustRightInd w:val="0"/>
              <w:snapToGrid w:val="0"/>
              <w:ind w:firstLine="480" w:firstLineChars="200"/>
            </w:pPr>
          </w:p>
          <w:p w14:paraId="1A363D14">
            <w:pPr>
              <w:adjustRightInd w:val="0"/>
              <w:snapToGrid w:val="0"/>
              <w:ind w:firstLine="420" w:firstLineChars="20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14:paraId="58A9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75" w:type="pct"/>
            <w:vAlign w:val="center"/>
          </w:tcPr>
          <w:p w14:paraId="69351F2E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附件清单（如有）</w:t>
            </w:r>
          </w:p>
        </w:tc>
        <w:tc>
          <w:tcPr>
            <w:tcW w:w="4425" w:type="pct"/>
          </w:tcPr>
          <w:p w14:paraId="35FA26A4">
            <w:pPr>
              <w:ind w:firstLine="0" w:firstLineChars="0"/>
            </w:pPr>
            <w:r>
              <w:t>无</w:t>
            </w:r>
          </w:p>
        </w:tc>
      </w:tr>
      <w:tr w14:paraId="492F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75" w:type="pct"/>
            <w:vAlign w:val="center"/>
          </w:tcPr>
          <w:p w14:paraId="6D9E9D75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14:paraId="790B7FB8">
            <w:pPr>
              <w:ind w:firstLine="0" w:firstLineChars="0"/>
            </w:pPr>
            <w:r>
              <w:rPr>
                <w:rFonts w:hint="eastAsia"/>
              </w:rPr>
              <w:t>2</w:t>
            </w:r>
            <w:r>
              <w:t>026年1</w:t>
            </w:r>
            <w:r>
              <w:rPr>
                <w:rFonts w:hint="eastAsia"/>
              </w:rPr>
              <w:t>月</w:t>
            </w:r>
          </w:p>
        </w:tc>
      </w:tr>
    </w:tbl>
    <w:p w14:paraId="47872F2C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40"/>
      </w:pPr>
      <w:r>
        <w:separator/>
      </w:r>
    </w:p>
  </w:endnote>
  <w:endnote w:type="continuationSeparator" w:id="1">
    <w:p>
      <w:pPr>
        <w:spacing w:line="240" w:lineRule="auto"/>
        <w:ind w:firstLine="240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8051297"/>
      <w:docPartObj>
        <w:docPartGallery w:val="autotext"/>
      </w:docPartObj>
    </w:sdtPr>
    <w:sdtContent>
      <w:p w14:paraId="04F84B33">
        <w:pPr>
          <w:pStyle w:val="5"/>
          <w:ind w:firstLine="1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699B6D"/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9DABC">
    <w:pPr>
      <w:pStyle w:val="5"/>
      <w:ind w:firstLine="180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7392482">
    <w:pPr>
      <w:pStyle w:val="5"/>
      <w:ind w:firstLine="180"/>
    </w:pPr>
  </w:p>
  <w:p w14:paraId="063A4A46"/>
  <w:p w14:paraId="05401801"/>
  <w:p w14:paraId="06E5972A"/>
  <w:p w14:paraId="30E4CD99"/>
</w:ftr>
</file>

<file path=word\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BA048">
    <w:pPr>
      <w:pStyle w:val="5"/>
      <w:ind w:firstLine="180"/>
    </w:pP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40"/>
      </w:pPr>
      <w:r>
        <w:separator/>
      </w:r>
    </w:p>
  </w:footnote>
  <w:footnote w:type="continuationSeparator" w:id="1">
    <w:p>
      <w:pPr>
        <w:spacing w:line="360" w:lineRule="auto"/>
        <w:ind w:firstLine="240"/>
      </w:pPr>
      <w:r>
        <w:continuationSeparator/>
      </w:r>
    </w:p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7C92">
    <w:pPr>
      <w:pStyle w:val="6"/>
      <w:ind w:firstLine="180"/>
    </w:pP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65A8">
    <w:pPr>
      <w:pStyle w:val="6"/>
      <w:ind w:firstLine="180"/>
    </w:pPr>
  </w:p>
  <w:p w14:paraId="3422A703"/>
</w:hdr>
</file>

<file path=word\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14136">
    <w:pPr>
      <w:pStyle w:val="6"/>
      <w:ind w:firstLine="180"/>
    </w:pP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5564F"/>
    <w:multiLevelType w:val="multilevel"/>
    <w:tmpl w:val="1AB5564F"/>
    <w:lvl w:ilvl="0" w:tentative="0">
      <w:start w:val="1"/>
      <w:numFmt w:val="decimal"/>
      <w:pStyle w:val="23"/>
      <w:lvlText w:val="%1、"/>
      <w:lvlJc w:val="left"/>
      <w:pPr>
        <w:ind w:left="1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2868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2CD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2082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2E33"/>
    <w:rsid w:val="001B3E8E"/>
    <w:rsid w:val="001B415F"/>
    <w:rsid w:val="001C220C"/>
    <w:rsid w:val="001C2E4E"/>
    <w:rsid w:val="001C3E11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EE7"/>
    <w:rsid w:val="001F75FC"/>
    <w:rsid w:val="00200779"/>
    <w:rsid w:val="00201EC5"/>
    <w:rsid w:val="0020252F"/>
    <w:rsid w:val="0020261F"/>
    <w:rsid w:val="002062A3"/>
    <w:rsid w:val="002107BC"/>
    <w:rsid w:val="0021164E"/>
    <w:rsid w:val="00211DF4"/>
    <w:rsid w:val="00214C8D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8614A"/>
    <w:rsid w:val="00291A32"/>
    <w:rsid w:val="00291D4C"/>
    <w:rsid w:val="00292F3E"/>
    <w:rsid w:val="00295634"/>
    <w:rsid w:val="00295817"/>
    <w:rsid w:val="00296139"/>
    <w:rsid w:val="00296285"/>
    <w:rsid w:val="00297A86"/>
    <w:rsid w:val="002A1AA5"/>
    <w:rsid w:val="002A2F81"/>
    <w:rsid w:val="002A7845"/>
    <w:rsid w:val="002A7E2F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596F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0517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55AC"/>
    <w:rsid w:val="00326D0E"/>
    <w:rsid w:val="003272B2"/>
    <w:rsid w:val="003276AC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66F2"/>
    <w:rsid w:val="00356F28"/>
    <w:rsid w:val="0035726E"/>
    <w:rsid w:val="0036279C"/>
    <w:rsid w:val="00362A4A"/>
    <w:rsid w:val="00363AB1"/>
    <w:rsid w:val="00364FBE"/>
    <w:rsid w:val="003657EE"/>
    <w:rsid w:val="00366C5C"/>
    <w:rsid w:val="00366D1D"/>
    <w:rsid w:val="00377CAE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E4875"/>
    <w:rsid w:val="003E52CA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249D"/>
    <w:rsid w:val="00423F14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2C6C"/>
    <w:rsid w:val="0044405A"/>
    <w:rsid w:val="00444F9B"/>
    <w:rsid w:val="004454D8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94"/>
    <w:rsid w:val="004D3C19"/>
    <w:rsid w:val="004D4449"/>
    <w:rsid w:val="004D4C91"/>
    <w:rsid w:val="004D7B2F"/>
    <w:rsid w:val="004E1938"/>
    <w:rsid w:val="004E5AF4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CA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462D7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153B"/>
    <w:rsid w:val="005B2184"/>
    <w:rsid w:val="005B2658"/>
    <w:rsid w:val="005B2D9E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3F32"/>
    <w:rsid w:val="005E4B65"/>
    <w:rsid w:val="005E57D6"/>
    <w:rsid w:val="005E7BDC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6485"/>
    <w:rsid w:val="00627C67"/>
    <w:rsid w:val="00627E46"/>
    <w:rsid w:val="00632CB1"/>
    <w:rsid w:val="00633D79"/>
    <w:rsid w:val="00635DFD"/>
    <w:rsid w:val="00640888"/>
    <w:rsid w:val="0064120C"/>
    <w:rsid w:val="00642DC5"/>
    <w:rsid w:val="00643757"/>
    <w:rsid w:val="00644962"/>
    <w:rsid w:val="00644B3E"/>
    <w:rsid w:val="00645F17"/>
    <w:rsid w:val="006502E0"/>
    <w:rsid w:val="00653106"/>
    <w:rsid w:val="006531E1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5A2D"/>
    <w:rsid w:val="006B60F4"/>
    <w:rsid w:val="006B6E75"/>
    <w:rsid w:val="006C1FB5"/>
    <w:rsid w:val="006C2AAD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C95"/>
    <w:rsid w:val="007D5F8A"/>
    <w:rsid w:val="007D7999"/>
    <w:rsid w:val="007D7FA7"/>
    <w:rsid w:val="007E273F"/>
    <w:rsid w:val="007E2D8C"/>
    <w:rsid w:val="007E60FC"/>
    <w:rsid w:val="007F094B"/>
    <w:rsid w:val="007F27BC"/>
    <w:rsid w:val="007F3048"/>
    <w:rsid w:val="007F4C67"/>
    <w:rsid w:val="007F541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52F6"/>
    <w:rsid w:val="008152F7"/>
    <w:rsid w:val="00816CE6"/>
    <w:rsid w:val="0082003A"/>
    <w:rsid w:val="00820077"/>
    <w:rsid w:val="0082139B"/>
    <w:rsid w:val="008220F0"/>
    <w:rsid w:val="008242C2"/>
    <w:rsid w:val="00824397"/>
    <w:rsid w:val="008243C3"/>
    <w:rsid w:val="00824AB0"/>
    <w:rsid w:val="008257DF"/>
    <w:rsid w:val="00826966"/>
    <w:rsid w:val="008270D5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0F7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70417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43ABD"/>
    <w:rsid w:val="00943E34"/>
    <w:rsid w:val="0094461D"/>
    <w:rsid w:val="00944C69"/>
    <w:rsid w:val="009465C7"/>
    <w:rsid w:val="009509CD"/>
    <w:rsid w:val="0095119D"/>
    <w:rsid w:val="009529EA"/>
    <w:rsid w:val="00954302"/>
    <w:rsid w:val="00956A4A"/>
    <w:rsid w:val="00956FEB"/>
    <w:rsid w:val="00957B96"/>
    <w:rsid w:val="009624C1"/>
    <w:rsid w:val="00962EFF"/>
    <w:rsid w:val="0097204E"/>
    <w:rsid w:val="0097373B"/>
    <w:rsid w:val="00975DF4"/>
    <w:rsid w:val="00976AFB"/>
    <w:rsid w:val="009800CB"/>
    <w:rsid w:val="00980430"/>
    <w:rsid w:val="00981B35"/>
    <w:rsid w:val="00983A69"/>
    <w:rsid w:val="009870EF"/>
    <w:rsid w:val="00990AA3"/>
    <w:rsid w:val="00992F11"/>
    <w:rsid w:val="0099453F"/>
    <w:rsid w:val="009979F9"/>
    <w:rsid w:val="009A1AA9"/>
    <w:rsid w:val="009A3C5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677B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3E"/>
    <w:rsid w:val="00AB3FAC"/>
    <w:rsid w:val="00AC0975"/>
    <w:rsid w:val="00AC3063"/>
    <w:rsid w:val="00AC623F"/>
    <w:rsid w:val="00AC6EE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318E"/>
    <w:rsid w:val="00B33743"/>
    <w:rsid w:val="00B33E01"/>
    <w:rsid w:val="00B35DD3"/>
    <w:rsid w:val="00B363F5"/>
    <w:rsid w:val="00B3690C"/>
    <w:rsid w:val="00B36E30"/>
    <w:rsid w:val="00B3772E"/>
    <w:rsid w:val="00B4148E"/>
    <w:rsid w:val="00B41AEC"/>
    <w:rsid w:val="00B43643"/>
    <w:rsid w:val="00B46FB4"/>
    <w:rsid w:val="00B50D65"/>
    <w:rsid w:val="00B521E9"/>
    <w:rsid w:val="00B52A07"/>
    <w:rsid w:val="00B561F8"/>
    <w:rsid w:val="00B56851"/>
    <w:rsid w:val="00B6022D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412B"/>
    <w:rsid w:val="00BB5D50"/>
    <w:rsid w:val="00BC143B"/>
    <w:rsid w:val="00BC4CE0"/>
    <w:rsid w:val="00BC55E3"/>
    <w:rsid w:val="00BC58F3"/>
    <w:rsid w:val="00BD333E"/>
    <w:rsid w:val="00BD3D4A"/>
    <w:rsid w:val="00BD5917"/>
    <w:rsid w:val="00BD722B"/>
    <w:rsid w:val="00BE1791"/>
    <w:rsid w:val="00BE1E34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E64"/>
    <w:rsid w:val="00C00298"/>
    <w:rsid w:val="00C0129E"/>
    <w:rsid w:val="00C042B3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F48"/>
    <w:rsid w:val="00C7739F"/>
    <w:rsid w:val="00C83E80"/>
    <w:rsid w:val="00C84EC2"/>
    <w:rsid w:val="00C85C1C"/>
    <w:rsid w:val="00C8642D"/>
    <w:rsid w:val="00C86B24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20D8"/>
    <w:rsid w:val="00CE33A7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D4D"/>
    <w:rsid w:val="00D25E43"/>
    <w:rsid w:val="00D260FF"/>
    <w:rsid w:val="00D32A05"/>
    <w:rsid w:val="00D3552F"/>
    <w:rsid w:val="00D36FCB"/>
    <w:rsid w:val="00D37C1F"/>
    <w:rsid w:val="00D4169A"/>
    <w:rsid w:val="00D42BB6"/>
    <w:rsid w:val="00D42CDD"/>
    <w:rsid w:val="00D45F69"/>
    <w:rsid w:val="00D46011"/>
    <w:rsid w:val="00D468FC"/>
    <w:rsid w:val="00D51CDF"/>
    <w:rsid w:val="00D54025"/>
    <w:rsid w:val="00D55D5C"/>
    <w:rsid w:val="00D5638A"/>
    <w:rsid w:val="00D56E4F"/>
    <w:rsid w:val="00D572AA"/>
    <w:rsid w:val="00D611A7"/>
    <w:rsid w:val="00D62ECC"/>
    <w:rsid w:val="00D65D0C"/>
    <w:rsid w:val="00D66DEE"/>
    <w:rsid w:val="00D67567"/>
    <w:rsid w:val="00D7182F"/>
    <w:rsid w:val="00D76376"/>
    <w:rsid w:val="00D76E49"/>
    <w:rsid w:val="00D82696"/>
    <w:rsid w:val="00D82BCE"/>
    <w:rsid w:val="00D82CE1"/>
    <w:rsid w:val="00D85869"/>
    <w:rsid w:val="00D86467"/>
    <w:rsid w:val="00D91F82"/>
    <w:rsid w:val="00D95FEE"/>
    <w:rsid w:val="00DA243E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3A78"/>
    <w:rsid w:val="00E04B2C"/>
    <w:rsid w:val="00E06FA8"/>
    <w:rsid w:val="00E07555"/>
    <w:rsid w:val="00E10BC4"/>
    <w:rsid w:val="00E136B2"/>
    <w:rsid w:val="00E14852"/>
    <w:rsid w:val="00E201F0"/>
    <w:rsid w:val="00E2134D"/>
    <w:rsid w:val="00E21D2A"/>
    <w:rsid w:val="00E21E90"/>
    <w:rsid w:val="00E24981"/>
    <w:rsid w:val="00E24C26"/>
    <w:rsid w:val="00E26FF2"/>
    <w:rsid w:val="00E270F7"/>
    <w:rsid w:val="00E27964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BEE"/>
    <w:rsid w:val="00E81D55"/>
    <w:rsid w:val="00E82484"/>
    <w:rsid w:val="00E869B5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6E1"/>
    <w:rsid w:val="00F54ADA"/>
    <w:rsid w:val="00F550C7"/>
    <w:rsid w:val="00F57004"/>
    <w:rsid w:val="00F6181C"/>
    <w:rsid w:val="00F6498C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8D3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D010C"/>
    <w:rsid w:val="00FD09A1"/>
    <w:rsid w:val="00FD2FF3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23A"/>
    <w:rsid w:val="00FF18F5"/>
    <w:rsid w:val="00FF2343"/>
    <w:rsid w:val="00FF610B"/>
    <w:rsid w:val="0FED0E1F"/>
    <w:rsid w:val="3D211DD4"/>
    <w:rsid w:val="43B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40" w:firstLineChars="1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99"/>
    <w:pPr>
      <w:jc w:val="left"/>
    </w:pPr>
  </w:style>
  <w:style w:type="paragraph" w:styleId="3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4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3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HTML Preformatted"/>
    <w:basedOn w:val="1"/>
    <w:link w:val="2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10">
    <w:name w:val="annotation subject"/>
    <w:basedOn w:val="2"/>
    <w:next w:val="2"/>
    <w:link w:val="27"/>
    <w:autoRedefine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Emphasis"/>
    <w:basedOn w:val="13"/>
    <w:autoRedefine/>
    <w:qFormat/>
    <w:uiPriority w:val="20"/>
    <w:rPr>
      <w:i/>
      <w:iCs/>
    </w:rPr>
  </w:style>
  <w:style w:type="character" w:styleId="17">
    <w:name w:val="Hyperlink"/>
    <w:basedOn w:val="13"/>
    <w:qFormat/>
    <w:uiPriority w:val="99"/>
    <w:rPr>
      <w:color w:val="0000FF"/>
      <w:u w:val="single"/>
    </w:rPr>
  </w:style>
  <w:style w:type="character" w:styleId="18">
    <w:name w:val="annotation reference"/>
    <w:basedOn w:val="13"/>
    <w:qFormat/>
    <w:uiPriority w:val="99"/>
    <w:rPr>
      <w:sz w:val="21"/>
      <w:szCs w:val="21"/>
    </w:rPr>
  </w:style>
  <w:style w:type="character" w:customStyle="1" w:styleId="19">
    <w:name w:val="页脚 Char"/>
    <w:basedOn w:val="13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005正文"/>
    <w:basedOn w:val="1"/>
    <w:link w:val="21"/>
    <w:autoRedefine/>
    <w:qFormat/>
    <w:uiPriority w:val="0"/>
    <w:pPr>
      <w:spacing w:before="50" w:beforeLines="50"/>
      <w:ind w:firstLine="200" w:firstLineChars="200"/>
    </w:pPr>
    <w:rPr>
      <w:szCs w:val="22"/>
    </w:rPr>
  </w:style>
  <w:style w:type="character" w:customStyle="1" w:styleId="21">
    <w:name w:val="005正文 Char"/>
    <w:link w:val="20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2">
    <w:name w:val="页眉 Char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numPr>
        <w:ilvl w:val="0"/>
        <w:numId w:val="1"/>
      </w:numPr>
      <w:ind w:firstLine="0" w:firstLineChars="0"/>
    </w:pPr>
    <w:rPr>
      <w:rFonts w:ascii="Calibri" w:hAnsi="Calibri" w:cs="宋体"/>
      <w:b/>
    </w:rPr>
  </w:style>
  <w:style w:type="character" w:customStyle="1" w:styleId="24">
    <w:name w:val="批注框文本 Char"/>
    <w:basedOn w:val="13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批注文字 Char"/>
    <w:basedOn w:val="13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批注主题 Char"/>
    <w:basedOn w:val="26"/>
    <w:link w:val="10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8">
    <w:name w:val="HTML 预设格式 Char"/>
    <w:basedOn w:val="13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日期 Char"/>
    <w:basedOn w:val="13"/>
    <w:link w:val="3"/>
    <w:semiHidden/>
    <w:qFormat/>
    <w:uiPriority w:val="99"/>
    <w:rPr>
      <w:rFonts w:ascii="宋体" w:hAnsi="宋体"/>
      <w:kern w:val="2"/>
      <w:sz w:val="24"/>
      <w:szCs w:val="24"/>
    </w:rPr>
  </w:style>
  <w:style w:type="paragraph" w:customStyle="1" w:styleId="30">
    <w:name w:val="Revision"/>
    <w:hidden/>
    <w:semiHidden/>
    <w:qFormat/>
    <w:uiPriority w:val="99"/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31">
    <w:name w:val="副标题 Char"/>
    <w:basedOn w:val="13"/>
    <w:link w:val="7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